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D6" w:rsidRPr="006F7BD6" w:rsidRDefault="006F7BD6" w:rsidP="006F7BD6">
      <w:pPr>
        <w:widowControl/>
        <w:jc w:val="center"/>
        <w:outlineLvl w:val="0"/>
        <w:rPr>
          <w:rFonts w:ascii="宋体" w:eastAsia="宋体" w:hAnsi="宋体" w:cs="宋体"/>
          <w:b/>
          <w:bCs/>
          <w:color w:val="184785"/>
          <w:kern w:val="36"/>
          <w:sz w:val="24"/>
          <w:szCs w:val="24"/>
        </w:rPr>
      </w:pPr>
      <w:r w:rsidRPr="006F7BD6">
        <w:rPr>
          <w:rFonts w:ascii="宋体" w:eastAsia="宋体" w:hAnsi="宋体" w:cs="宋体" w:hint="eastAsia"/>
          <w:b/>
          <w:bCs/>
          <w:color w:val="184785"/>
          <w:kern w:val="36"/>
          <w:sz w:val="24"/>
          <w:szCs w:val="24"/>
        </w:rPr>
        <w:t>个人网上银行功能介绍</w:t>
      </w:r>
    </w:p>
    <w:p w:rsidR="00B44786" w:rsidRDefault="00B44786" w:rsidP="006F7BD6">
      <w:pPr>
        <w:widowControl/>
        <w:spacing w:before="100" w:beforeAutospacing="1" w:after="100" w:afterAutospacing="1" w:line="375" w:lineRule="atLeast"/>
        <w:ind w:firstLine="375"/>
        <w:jc w:val="left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6F7BD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上海浦东发展银行（以下简称浦发银行）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个人网上银行业务是指我行通过因特网向个人客户提供7*24小时全年无休的远程自助金融服务，服务内容包括除现金类业务外的账户管理、存款、 汇款、理财、网上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支付、资金归集、外汇、贷款融资等几乎所有非现金个人金融服务，主要功能包括：</w:t>
      </w:r>
    </w:p>
    <w:p w:rsidR="00B44786" w:rsidRPr="00B44786" w:rsidRDefault="00B44786" w:rsidP="00B44786">
      <w:pPr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bookmarkStart w:id="0" w:name="_Toc398040938"/>
      <w:bookmarkStart w:id="1" w:name="_Toc398050785"/>
      <w:bookmarkStart w:id="2" w:name="_Toc398051680"/>
      <w:bookmarkStart w:id="3" w:name="_Toc398129724"/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（一）账务管理</w:t>
      </w:r>
      <w:bookmarkEnd w:id="0"/>
      <w:bookmarkEnd w:id="1"/>
      <w:bookmarkEnd w:id="2"/>
      <w:bookmarkEnd w:id="3"/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1、资产负债查询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您只需一个点击，便可轻松查询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在我行的存款、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理财、基金投资等资产情况，以及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贷款、透支消费等负债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情况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，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分类展示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，清晰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直观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2、账户收支查询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账户收支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表是浦发银行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为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度身定制的一张活期账户 (包括银行卡、活期一本通）收支变动情况的分类汇总表，能全面记录、反映个人日常生活、消费、投资理财收支的变化，帮助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轻松掌控财务收支。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3、电子工资单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电子工资单是浦发银行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为企业客户代发薪资业务提供的一项增值服务。客户通过公司网银或个人网银上传工资单数据文件后，员工通过登录个人网银即可查看工资明细，从而取代传统纸质工资单，免去了工资单保存、保密的麻烦，提升企业规范管理的形象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（二）储蓄存款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浦发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网上银行不仅提供定额定期储蓄存款，还提供通知存款、周周盈自动转存通知存款、借记卡约定定期等多样化的存款管理。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无需亲临网点即可方便的管理借记卡内的定期存款。没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（三）理财</w:t>
      </w:r>
    </w:p>
    <w:p w:rsidR="00B44786" w:rsidRPr="00B44786" w:rsidRDefault="00B44786" w:rsidP="00B44786">
      <w:pPr>
        <w:spacing w:line="360" w:lineRule="auto"/>
        <w:ind w:firstLineChars="250" w:firstLine="500"/>
        <w:rPr>
          <w:rFonts w:ascii="宋体" w:eastAsia="宋体" w:hAnsi="宋体" w:cs="宋体"/>
          <w:color w:val="222222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浦发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网上银行先后推出银行理财产品、银证（银期）转账、基金、外汇宝、贵金属等种类齐全的网上理财服务，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为您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打造不受时间、地点限制的简便、快捷的在线投资平台。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ab/>
      </w:r>
    </w:p>
    <w:p w:rsidR="00B44786" w:rsidRPr="00B44786" w:rsidRDefault="00B44786" w:rsidP="00B44786">
      <w:pPr>
        <w:spacing w:line="360" w:lineRule="auto"/>
        <w:ind w:firstLineChars="250" w:firstLine="500"/>
        <w:rPr>
          <w:rFonts w:ascii="宋体" w:eastAsia="宋体" w:hAnsi="宋体" w:cs="宋体"/>
          <w:color w:val="222222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浦发银行专门为您推出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天添赢闪电理财、普发宝等多样化的财富管理功能， 7*24小时全天候服务，使日常工作繁忙的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您也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可随时申购，立即赎回，把握投资机会。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（四）汇款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1、行内汇款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可使用行内汇款功能汇款到他人的银行卡、作为结算户的活期一本通存折、或者汇到公司开在我行的人民币结算账户。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本行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账户间的汇款无论同城或异地，均实时到账，且行内同城汇款暂免手续费。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2、跨行汇款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可使用跨行汇款功能汇款至国内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其他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银行的公司结算账户、个人人民币结算账户（银行卡、存折）。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可根据汇款金额大小、手续费率及到账时间要求，选择不同的汇款模式(含“普通汇款”及“实时汇款”)。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3、约定汇款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浦发网上银行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充分考虑工作繁忙的职场人士需求，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为您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提供约定汇款服务——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只须设定汇款规则，我行将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自动在约定日期将约定款项划给指定的收款人，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满足您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定期还贷、提供外地就学子女生活费、赡养老人的需求。</w:t>
      </w:r>
    </w:p>
    <w:p w:rsidR="00B44786" w:rsidRPr="00B44786" w:rsidRDefault="00B44786" w:rsidP="00B44786">
      <w:pPr>
        <w:spacing w:line="360" w:lineRule="auto"/>
        <w:ind w:firstLineChars="250" w:firstLine="50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4、特色汇款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为给客户提供更加全面、便捷、高效的资金汇划服务，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浦发网上银行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还推出了Email汇款、行内批量汇款等特色汇款服务。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Email汇款：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无须知道收款人的收款账号，只需填写收款人 Email 地址或手机号码，便可进行汇款。收款人收到汇款通知邮件后，可登录网上收款专用通道，直接收款入我行银行卡或存折（无需签约）或登录网银后收汇，也可以至我行柜面取现。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批量汇款：登录网银后，可选择“文件上传”或“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在线编辑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”模式进行批量汇款操作，汇款资金可快速汇入收款人账户，汇款状态一目了然。满足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利用个人账户进行批量支付、结算的需求，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为您节约宝贵时间。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bookmarkStart w:id="4" w:name="_Toc398040940"/>
      <w:bookmarkStart w:id="5" w:name="_Toc398050787"/>
      <w:bookmarkStart w:id="6" w:name="_Toc398051682"/>
      <w:bookmarkStart w:id="7" w:name="_Toc398129726"/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（五）网上支付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为满足不同客户群体在不同场景的支付需求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，浦发银行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现有签约版网银支付（数字证书、动态密码）、签约版手机银行支付、协议支付、浦发快捷支付和商户快捷支付。其中，签约版网银/手机支付无需单独申请，只需完成签约版网银/手机银行的开通即可享有；浦发快捷支付和商户快捷支付都需开通网银，通过客户身份信息验证核实，在线完成签约即可享有；协议支付主要用于基金和保险行业，个人客户通过网上支付购买基金和保险，更享合作基金公司、保险公司给予的交易费率优惠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（六）资金归集</w:t>
      </w:r>
      <w:bookmarkEnd w:id="4"/>
      <w:bookmarkEnd w:id="5"/>
      <w:bookmarkEnd w:id="6"/>
      <w:bookmarkEnd w:id="7"/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资金归集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为您提供资金的一站式管理服务，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分为跨行资金归集与行内资金归集，支持定期定额、保底归集两种归集模式，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满足您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集中管理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在多个银行、多个账户中分散资金的需求，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避免不必要的资金闲置，提高资金的使用效率，增加收益。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bookmarkStart w:id="8" w:name="_Toc398040941"/>
      <w:bookmarkStart w:id="9" w:name="_Toc398050788"/>
      <w:bookmarkStart w:id="10" w:name="_Toc398051683"/>
      <w:bookmarkStart w:id="11" w:name="_Toc398129727"/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（七）缴费</w:t>
      </w:r>
      <w:bookmarkEnd w:id="8"/>
      <w:bookmarkEnd w:id="9"/>
      <w:bookmarkEnd w:id="10"/>
      <w:bookmarkEnd w:id="11"/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bookmarkStart w:id="12" w:name="_Toc398040942"/>
      <w:bookmarkStart w:id="13" w:name="_Toc398050789"/>
      <w:bookmarkStart w:id="14" w:name="_Toc398051684"/>
      <w:bookmarkStart w:id="15" w:name="_Toc398129728"/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签约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浦发网上银行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，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您便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进入了永不歇业的银行营业厅，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可以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在线完成各公用事业费用的缴付、手机充值、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还本行信用卡、还他行信用卡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、电子客票订购、商旅套餐购买等多项服务功能。</w:t>
      </w:r>
      <w:bookmarkStart w:id="16" w:name="_Toc398040943"/>
      <w:bookmarkStart w:id="17" w:name="_Toc398050790"/>
      <w:bookmarkStart w:id="18" w:name="_Toc398051685"/>
      <w:bookmarkStart w:id="19" w:name="_Toc398129729"/>
      <w:bookmarkEnd w:id="12"/>
      <w:bookmarkEnd w:id="13"/>
      <w:bookmarkEnd w:id="14"/>
      <w:bookmarkEnd w:id="15"/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（八）</w:t>
      </w:r>
      <w:bookmarkEnd w:id="16"/>
      <w:bookmarkEnd w:id="17"/>
      <w:bookmarkEnd w:id="18"/>
      <w:bookmarkEnd w:id="19"/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结售汇和外汇汇款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bookmarkStart w:id="20" w:name="_Toc398040944"/>
      <w:bookmarkStart w:id="21" w:name="_Toc398050791"/>
      <w:bookmarkStart w:id="22" w:name="_Toc398051686"/>
      <w:bookmarkStart w:id="23" w:name="_Toc398129730"/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浦发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个人网银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为您提供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实时办理外汇结汇及购汇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服务，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7*24小时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接受您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提交</w:t>
      </w:r>
      <w:r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的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SWIFT外币汇款或西联汇款申请。</w:t>
      </w:r>
      <w:bookmarkEnd w:id="20"/>
      <w:bookmarkEnd w:id="21"/>
      <w:bookmarkEnd w:id="22"/>
      <w:bookmarkEnd w:id="23"/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bookmarkStart w:id="24" w:name="_Toc398040945"/>
      <w:bookmarkStart w:id="25" w:name="_Toc398050792"/>
      <w:bookmarkStart w:id="26" w:name="_Toc398051687"/>
      <w:bookmarkStart w:id="27" w:name="_Toc398129731"/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（九）贷款管理</w:t>
      </w:r>
    </w:p>
    <w:p w:rsidR="00B44786" w:rsidRPr="00B44786" w:rsidRDefault="00B44786" w:rsidP="00B44786">
      <w:pPr>
        <w:spacing w:line="360" w:lineRule="auto"/>
        <w:ind w:firstLine="480"/>
        <w:rPr>
          <w:rFonts w:ascii="宋体" w:eastAsia="宋体" w:hAnsi="宋体" w:cs="宋体"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贷款管理</w:t>
      </w:r>
      <w:r w:rsidR="00C54337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功能为您提供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在线申请</w:t>
      </w:r>
      <w:r w:rsidR="00C54337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贷款服务，方便您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管理质押贷款、贷款专户的定向支付</w:t>
      </w:r>
      <w:r w:rsidR="00C54337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、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融资易、消贷易</w:t>
      </w:r>
      <w:r w:rsidR="00C54337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等，为您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提供全方位的在线贷款融资服务。</w:t>
      </w:r>
    </w:p>
    <w:p w:rsidR="00B44786" w:rsidRPr="00B44786" w:rsidRDefault="00B44786" w:rsidP="00C54337">
      <w:pPr>
        <w:spacing w:line="360" w:lineRule="auto"/>
        <w:ind w:firstLine="480"/>
        <w:rPr>
          <w:rFonts w:ascii="宋体" w:eastAsia="宋体" w:hAnsi="宋体" w:cs="宋体"/>
          <w:b/>
          <w:color w:val="222222"/>
          <w:kern w:val="0"/>
          <w:sz w:val="20"/>
          <w:szCs w:val="20"/>
        </w:rPr>
      </w:pPr>
      <w:r w:rsidRPr="00B44786">
        <w:rPr>
          <w:rFonts w:ascii="宋体" w:eastAsia="宋体" w:hAnsi="宋体" w:cs="宋体" w:hint="eastAsia"/>
          <w:b/>
          <w:color w:val="222222"/>
          <w:kern w:val="0"/>
          <w:sz w:val="20"/>
          <w:szCs w:val="20"/>
        </w:rPr>
        <w:t>（十）其他</w:t>
      </w:r>
      <w:bookmarkEnd w:id="24"/>
      <w:bookmarkEnd w:id="25"/>
      <w:bookmarkEnd w:id="26"/>
      <w:bookmarkEnd w:id="27"/>
    </w:p>
    <w:p w:rsidR="00B44786" w:rsidRDefault="00B44786" w:rsidP="00532801">
      <w:pPr>
        <w:widowControl/>
        <w:spacing w:line="375" w:lineRule="atLeast"/>
        <w:ind w:firstLineChars="283" w:firstLine="566"/>
        <w:jc w:val="left"/>
        <w:rPr>
          <w:rFonts w:ascii="宋体" w:eastAsia="宋体" w:hAnsi="宋体" w:cs="宋体"/>
          <w:color w:val="222222"/>
          <w:kern w:val="0"/>
          <w:sz w:val="20"/>
          <w:szCs w:val="20"/>
        </w:rPr>
      </w:pPr>
      <w:bookmarkStart w:id="28" w:name="_Toc398040946"/>
      <w:bookmarkStart w:id="29" w:name="_Toc398050793"/>
      <w:bookmarkStart w:id="30" w:name="_Toc398051688"/>
      <w:bookmarkStart w:id="31" w:name="_Toc398129732"/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除以上业务功能外，</w:t>
      </w:r>
      <w:r w:rsidR="00C54337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浦发网上银行还为您提供手机银行签约、及时语签约管理、限额设置、密码修改等多项综合性服务</w:t>
      </w:r>
      <w:r w:rsidR="00532801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，全面满足您的</w:t>
      </w:r>
      <w:r w:rsidRPr="00B44786">
        <w:rPr>
          <w:rFonts w:ascii="宋体" w:eastAsia="宋体" w:hAnsi="宋体" w:cs="宋体" w:hint="eastAsia"/>
          <w:color w:val="222222"/>
          <w:kern w:val="0"/>
          <w:sz w:val="20"/>
          <w:szCs w:val="20"/>
        </w:rPr>
        <w:t>需求。</w:t>
      </w:r>
      <w:bookmarkEnd w:id="28"/>
      <w:bookmarkEnd w:id="29"/>
      <w:bookmarkEnd w:id="30"/>
      <w:bookmarkEnd w:id="31"/>
    </w:p>
    <w:sectPr w:rsidR="00B4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88" w:rsidRDefault="00BF4E88" w:rsidP="006F7BD6">
      <w:r>
        <w:separator/>
      </w:r>
    </w:p>
  </w:endnote>
  <w:endnote w:type="continuationSeparator" w:id="0">
    <w:p w:rsidR="00BF4E88" w:rsidRDefault="00BF4E88" w:rsidP="006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88" w:rsidRDefault="00BF4E88" w:rsidP="006F7BD6">
      <w:r>
        <w:separator/>
      </w:r>
    </w:p>
  </w:footnote>
  <w:footnote w:type="continuationSeparator" w:id="0">
    <w:p w:rsidR="00BF4E88" w:rsidRDefault="00BF4E88" w:rsidP="006F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1CAA"/>
    <w:multiLevelType w:val="multilevel"/>
    <w:tmpl w:val="DEF6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C2"/>
    <w:rsid w:val="000437E8"/>
    <w:rsid w:val="0011353D"/>
    <w:rsid w:val="00227ECE"/>
    <w:rsid w:val="00252DD6"/>
    <w:rsid w:val="00532801"/>
    <w:rsid w:val="005E68DA"/>
    <w:rsid w:val="005F15B0"/>
    <w:rsid w:val="006F7BD6"/>
    <w:rsid w:val="0089131D"/>
    <w:rsid w:val="00894DD5"/>
    <w:rsid w:val="00B44786"/>
    <w:rsid w:val="00B9297A"/>
    <w:rsid w:val="00BC6CDB"/>
    <w:rsid w:val="00BF4E88"/>
    <w:rsid w:val="00C54337"/>
    <w:rsid w:val="00C730C2"/>
    <w:rsid w:val="00D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4CE0E8-AF81-4859-B33C-BB564BB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7BD6"/>
    <w:pPr>
      <w:widowControl/>
      <w:jc w:val="left"/>
      <w:outlineLvl w:val="0"/>
    </w:pPr>
    <w:rPr>
      <w:rFonts w:ascii="宋体" w:eastAsia="宋体" w:hAnsi="宋体" w:cs="宋体"/>
      <w:b/>
      <w:bCs/>
      <w:color w:val="184785"/>
      <w:kern w:val="36"/>
      <w:sz w:val="29"/>
      <w:szCs w:val="29"/>
    </w:rPr>
  </w:style>
  <w:style w:type="paragraph" w:styleId="3">
    <w:name w:val="heading 3"/>
    <w:basedOn w:val="a"/>
    <w:link w:val="3Char"/>
    <w:uiPriority w:val="9"/>
    <w:qFormat/>
    <w:rsid w:val="006F7BD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BD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7BD6"/>
    <w:rPr>
      <w:rFonts w:ascii="宋体" w:eastAsia="宋体" w:hAnsi="宋体" w:cs="宋体"/>
      <w:b/>
      <w:bCs/>
      <w:color w:val="184785"/>
      <w:kern w:val="36"/>
      <w:sz w:val="29"/>
      <w:szCs w:val="29"/>
    </w:rPr>
  </w:style>
  <w:style w:type="character" w:customStyle="1" w:styleId="3Char">
    <w:name w:val="标题 3 Char"/>
    <w:basedOn w:val="a0"/>
    <w:link w:val="3"/>
    <w:uiPriority w:val="9"/>
    <w:rsid w:val="006F7BD6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6F7BD6"/>
    <w:rPr>
      <w:strike w:val="0"/>
      <w:dstrike w:val="0"/>
      <w:color w:val="18478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F7BD6"/>
    <w:pPr>
      <w:widowControl/>
      <w:spacing w:before="100" w:beforeAutospacing="1" w:after="100" w:afterAutospacing="1" w:line="375" w:lineRule="atLeast"/>
      <w:ind w:firstLine="3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F7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387">
          <w:marLeft w:val="0"/>
          <w:marRight w:val="0"/>
          <w:marTop w:val="0"/>
          <w:marBottom w:val="0"/>
          <w:divBdr>
            <w:top w:val="single" w:sz="6" w:space="0" w:color="C9C9C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李立辉</cp:lastModifiedBy>
  <cp:revision>1</cp:revision>
  <dcterms:created xsi:type="dcterms:W3CDTF">2016-02-19T08:14:00Z</dcterms:created>
  <dcterms:modified xsi:type="dcterms:W3CDTF">2016-02-19T08:14:00Z</dcterms:modified>
</cp:coreProperties>
</file>